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A4" w:rsidRDefault="005A1D9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614482" wp14:editId="718DF0DC">
                <wp:simplePos x="0" y="0"/>
                <wp:positionH relativeFrom="column">
                  <wp:posOffset>57582</wp:posOffset>
                </wp:positionH>
                <wp:positionV relativeFrom="paragraph">
                  <wp:posOffset>6678106</wp:posOffset>
                </wp:positionV>
                <wp:extent cx="1828800" cy="1828800"/>
                <wp:effectExtent l="0" t="0" r="0" b="1905"/>
                <wp:wrapTight wrapText="bothSides">
                  <wp:wrapPolygon edited="0">
                    <wp:start x="138" y="0"/>
                    <wp:lineTo x="138" y="21432"/>
                    <wp:lineTo x="21392" y="21432"/>
                    <wp:lineTo x="21392" y="0"/>
                    <wp:lineTo x="138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1D97" w:rsidRPr="005A1D97" w:rsidRDefault="005A1D97" w:rsidP="005A1D97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5A1D9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</w:t>
                            </w:r>
                            <w:r w:rsidRPr="005A1D9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he Reading Hand is an example of how students can remember the reading strategies they can use to decode words.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Students should use these strategies before an adult tells them the unknown word.</w:t>
                            </w:r>
                          </w:p>
                          <w:p w:rsidR="005A1D97" w:rsidRPr="005A1D97" w:rsidRDefault="005A1D97" w:rsidP="005A1D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614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5pt;margin-top:525.85pt;width:2in;height:2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5A1D97" w:rsidRPr="005A1D97" w:rsidRDefault="005A1D97" w:rsidP="005A1D97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5A1D97">
                        <w:rPr>
                          <w:rFonts w:ascii="Comic Sans MS" w:hAnsi="Comic Sans MS"/>
                          <w:sz w:val="44"/>
                          <w:szCs w:val="44"/>
                        </w:rPr>
                        <w:t>T</w:t>
                      </w:r>
                      <w:r w:rsidRPr="005A1D97">
                        <w:rPr>
                          <w:rFonts w:ascii="Comic Sans MS" w:hAnsi="Comic Sans MS"/>
                          <w:sz w:val="44"/>
                          <w:szCs w:val="44"/>
                        </w:rPr>
                        <w:t>he Reading Hand is an example of how students can remember the reading strategies they can use to decode words.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Students should use these strategies before an adult tells them the unknown word.</w:t>
                      </w:r>
                    </w:p>
                    <w:p w:rsidR="005A1D97" w:rsidRPr="005A1D97" w:rsidRDefault="005A1D97" w:rsidP="005A1D9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4C64FD" wp14:editId="66CB1114">
            <wp:simplePos x="0" y="0"/>
            <wp:positionH relativeFrom="margin">
              <wp:align>center</wp:align>
            </wp:positionH>
            <wp:positionV relativeFrom="paragraph">
              <wp:posOffset>229</wp:posOffset>
            </wp:positionV>
            <wp:extent cx="6342380" cy="7891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Han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1" t="660" r="-2503" b="660"/>
                    <a:stretch/>
                  </pic:blipFill>
                  <pic:spPr>
                    <a:xfrm>
                      <a:off x="0" y="0"/>
                      <a:ext cx="6342380" cy="789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DA4" w:rsidSect="005A1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97"/>
    <w:rsid w:val="00460991"/>
    <w:rsid w:val="005A1D97"/>
    <w:rsid w:val="00C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D04D"/>
  <w15:chartTrackingRefBased/>
  <w15:docId w15:val="{3867A246-FE31-40E5-8BB8-16D5C1B5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Fannett-Metal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Rotz</dc:creator>
  <cp:keywords/>
  <dc:description/>
  <cp:lastModifiedBy>Holly Rotz</cp:lastModifiedBy>
  <cp:revision>1</cp:revision>
  <dcterms:created xsi:type="dcterms:W3CDTF">2018-01-18T20:13:00Z</dcterms:created>
  <dcterms:modified xsi:type="dcterms:W3CDTF">2018-01-18T20:18:00Z</dcterms:modified>
</cp:coreProperties>
</file>